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-330" w:leftChars="-150" w:right="-330" w:rightChars="-15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厦门首能科技有限公司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OLE_LINK1"/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六氟磷酸锂泄漏应急演练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方案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一、演练指导思想和目的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入贯彻落实“安全第一、预防为主、综合治理”的方针和安全生产有关法律法规规定，为了进一步加强我公司的安全管理，增强职工的安全意识，提高职工在遇到事故中的应变能力、组织能力和协调能力，最大限度减少生命财产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二、应急小组成员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总 指 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陈定中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副总指挥：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康建强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疏散警戒组负责人：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杨惠贤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现场处置组负责人：王荣欣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施佳津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现场监测组：吴海波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三、演练时间、地点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1、演练时间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(星期二）上</w:t>
      </w:r>
      <w:r>
        <w:rPr>
          <w:rFonts w:hint="eastAsia" w:ascii="仿宋" w:hAnsi="仿宋" w:eastAsia="仿宋" w:cs="仿宋"/>
          <w:sz w:val="32"/>
          <w:szCs w:val="32"/>
        </w:rPr>
        <w:t>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11:00-11:50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638" w:leftChars="290" w:right="0" w:righ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11:00-11:25  </w:t>
      </w:r>
      <w:r>
        <w:rPr>
          <w:rFonts w:hint="default" w:ascii="Calibri" w:hAnsi="Calibri" w:eastAsia="仿宋" w:cs="Calibri"/>
          <w:sz w:val="24"/>
          <w:szCs w:val="24"/>
          <w:lang w:val="en-US" w:eastAsia="zh-CN"/>
        </w:rPr>
        <w:t>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会议室签到  </w:t>
      </w:r>
      <w:r>
        <w:rPr>
          <w:rFonts w:hint="default" w:ascii="Calibri" w:hAnsi="Calibri" w:eastAsia="仿宋" w:cs="Calibri"/>
          <w:sz w:val="24"/>
          <w:szCs w:val="24"/>
          <w:lang w:val="en-US" w:eastAsia="zh-CN"/>
        </w:rPr>
        <w:t>②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>视频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学习空气呼吸机使用方法、</w:t>
      </w:r>
      <w:r>
        <w:rPr>
          <w:rFonts w:hint="default" w:ascii="Calibri" w:hAnsi="Calibri" w:eastAsia="仿宋" w:cs="Calibri"/>
          <w:sz w:val="28"/>
          <w:szCs w:val="28"/>
          <w:lang w:val="en-US" w:eastAsia="zh-CN"/>
        </w:rPr>
        <w:t>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防化服正确穿戴方法（略）、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布置本次演练任务。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11:30-11:50  生产车间   应急演练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2、演练地点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生产车间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四、参与演练单位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主办：安环部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参演部门：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生产部、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品质部、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研发部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五、应急救援演练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根据安环部年度计划安排，组织开展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危险化学品</w:t>
      </w:r>
      <w:r>
        <w:rPr>
          <w:rFonts w:hint="eastAsia" w:ascii="仿宋" w:hAnsi="仿宋" w:eastAsia="仿宋" w:cs="仿宋"/>
          <w:sz w:val="32"/>
          <w:szCs w:val="32"/>
        </w:rPr>
        <w:t>泄漏应急处置模拟演练。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电解液混合搅拌添加锂盐时</w:t>
      </w:r>
      <w:r>
        <w:rPr>
          <w:rFonts w:hint="eastAsia" w:ascii="仿宋" w:hAnsi="仿宋" w:eastAsia="仿宋" w:cs="仿宋"/>
          <w:sz w:val="32"/>
          <w:szCs w:val="32"/>
        </w:rPr>
        <w:t>，因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盐桶阀门故障无法关紧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断开进料连接管后锂盐不断</w:t>
      </w:r>
      <w:r>
        <w:rPr>
          <w:rFonts w:hint="eastAsia" w:ascii="仿宋" w:hAnsi="仿宋" w:eastAsia="仿宋" w:cs="仿宋"/>
          <w:sz w:val="32"/>
          <w:szCs w:val="32"/>
        </w:rPr>
        <w:t>泄漏，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冒出大量“白色烟雾”。</w:t>
      </w:r>
      <w:r>
        <w:rPr>
          <w:rFonts w:hint="eastAsia" w:ascii="仿宋" w:hAnsi="仿宋" w:eastAsia="仿宋" w:cs="仿宋"/>
          <w:sz w:val="32"/>
          <w:szCs w:val="32"/>
        </w:rPr>
        <w:t>应急人员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做好自身防护后紧急重新关闭盐桶阀门及</w:t>
      </w:r>
      <w:r>
        <w:rPr>
          <w:rFonts w:hint="eastAsia" w:ascii="仿宋" w:hAnsi="仿宋" w:eastAsia="仿宋" w:cs="仿宋"/>
          <w:sz w:val="32"/>
          <w:szCs w:val="32"/>
        </w:rPr>
        <w:t>对泄漏的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锂盐</w:t>
      </w:r>
      <w:r>
        <w:rPr>
          <w:rFonts w:hint="eastAsia" w:ascii="仿宋" w:hAnsi="仿宋" w:eastAsia="仿宋" w:cs="仿宋"/>
          <w:sz w:val="32"/>
          <w:szCs w:val="32"/>
        </w:rPr>
        <w:t>进行回收处理过程。</w:t>
      </w:r>
    </w:p>
    <w:tbl>
      <w:tblPr>
        <w:tblStyle w:val="6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323"/>
        <w:gridCol w:w="7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时 间</w:t>
            </w: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2249" w:firstLineChars="7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演练流程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11:00</w:t>
            </w: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1）会议室签到，学习空呼使用、保养方法（视频），防化服穿戴方法（略），分配演练任务。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11:30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11:32</w:t>
            </w: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生产车间：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彭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波在添加锂盐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过程中，因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盐桶阀门异常没有关闭到位，未进行安全确认就断开连接管后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，造成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锂盐不断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泄露，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现场“白色烟雾”不断涌出。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彭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波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发现后，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大声呼救，通知现场作业人员紧急撤处生产车间同时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向生产经理报告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锂盐泄漏。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生产经理接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信息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经评估后决定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立即启动突发环境事件应急救援预案，组织开展救援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11:33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11:40</w:t>
            </w: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王荣欣统筹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(施佳津配合)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1）因彭波对现场情况最清楚，生产经理让彭波待命进入第一事故现场进行事故处理。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2）王荣欣让杨惠贤组织研发部、品质部人员封锁事故现场，拉防护警戒线（车间大门），对无关人员进行清场与劝退。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3)王荣欣命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郭自然、郭来团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取防化服、长筒靴，并协助彭波穿戴。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4)王荣欣命胡玉东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陈享根取空气呼吸机，并协助彭波穿戴。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5）王荣欣命彭涛、彭廷军准备带盖密封容器（袋盖塑料桶），和清扫工具/扫把、畚斗等工具。以备对现场进行清扫。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5)王荣欣命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吴海波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准备好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做好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可燃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/有毒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气体监测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仪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穿戴防毒面具、现场待命。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6)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王荣欣命杨为军、洪斌超戴好防毒面具，取灭火器，现场待命。以防突发现场起火事故。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11:41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11:45</w:t>
            </w: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彭波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穿好防护服，空气呼吸器和其他防护措施后，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在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搅拌罐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进行救援，将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盐桶阀门彻底关闭，泄漏的锂盐用扫把、簸箕收集到塑料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空桶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收集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……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完后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……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向王荣欣汇报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王荣欣收到信息后，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命令彭波妥善封塑料桶，并撤出救援现场，以免长时间救援吸入少量有害气体。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)等待现场“白色烟雾”散尽，王荣欣命海波对现场有毒有害气体，进行浓度测试。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4）吴海波经多点测试，确定有毒有害气体浓度达标后向王荣欣报告。同时配合检查车间其他可燃气体检测仪显示数值情况。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吴海波手持可燃气体检查仪，对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车间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四周进行检测，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未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发现异常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向王荣欣汇报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11:45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320" w:firstLineChars="1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11:50</w:t>
            </w: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王荣欣确认事故得到控制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演练工具收拾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宣布解除警报、解除戒严、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陈总进行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演练总结、演习结束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注：人事部负责现场信息记录工作 拍照等（11：30-11：50）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六、演练工具</w:t>
      </w:r>
    </w:p>
    <w:tbl>
      <w:tblPr>
        <w:tblStyle w:val="7"/>
        <w:tblpPr w:leftFromText="180" w:rightFromText="180" w:vertAnchor="text" w:horzAnchor="page" w:tblpX="1177" w:tblpY="314"/>
        <w:tblOverlap w:val="never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30"/>
        <w:gridCol w:w="1905"/>
        <w:gridCol w:w="2010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储存位置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防化服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套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微型消防柜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安全帽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顶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每人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right="0" w:rightChars="0" w:firstLine="320" w:firstLineChars="100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防护长筒鞋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微型消防柜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防护手套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微型消防柜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灭火器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防护防撞柱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微型消防柜旁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警戒线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捆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微型消防柜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喊话小喇叭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微型消防柜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可燃有毒气体检测器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微型消防柜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防毒面具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生产人员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扫把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畚斗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shd w:val="clear" w:color="FFFFFF" w:fill="D9D9D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shd w:val="clear" w:color="FFFFFF" w:fill="D9D9D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正压空气呼吸机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shd w:val="clear" w:color="FFFFFF" w:fill="D9D9D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shd w:val="clear" w:color="FFFFFF" w:fill="D9D9D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shd w:val="clear" w:color="FFFFFF" w:fill="D9D9D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shd w:val="clear" w:color="FFFFFF" w:fill="D9D9D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shd w:val="clear" w:color="FFFFFF" w:fill="D9D9D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4" w:type="default"/>
      <w:pgSz w:w="11906" w:h="16838"/>
      <w:pgMar w:top="1440" w:right="1020" w:bottom="144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textAlignment w:val="center"/>
    </w:pPr>
    <w:r>
      <w:rPr>
        <w:rFonts w:hint="eastAsia"/>
      </w:rPr>
      <w:drawing>
        <wp:inline distT="0" distB="0" distL="114300" distR="114300">
          <wp:extent cx="1428750" cy="504825"/>
          <wp:effectExtent l="0" t="0" r="6350" b="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</w:t>
    </w:r>
    <w:r>
      <w:rPr>
        <w:rFonts w:hint="eastAsia"/>
        <w:sz w:val="21"/>
        <w:szCs w:val="21"/>
      </w:rPr>
      <w:t>厦门首能科技有限公司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mI3NjIxYmJhZjMzMzhmZGI2ZGM5ZmRmZDZmYWEifQ=="/>
  </w:docVars>
  <w:rsids>
    <w:rsidRoot w:val="17625F33"/>
    <w:rsid w:val="0001284C"/>
    <w:rsid w:val="001B22FB"/>
    <w:rsid w:val="001D0785"/>
    <w:rsid w:val="001F4B1A"/>
    <w:rsid w:val="002A1441"/>
    <w:rsid w:val="002A38E0"/>
    <w:rsid w:val="00621269"/>
    <w:rsid w:val="00692A8E"/>
    <w:rsid w:val="00740FB9"/>
    <w:rsid w:val="008D5101"/>
    <w:rsid w:val="008F4CE3"/>
    <w:rsid w:val="00A92EED"/>
    <w:rsid w:val="00AA5E5D"/>
    <w:rsid w:val="00CE4ECE"/>
    <w:rsid w:val="00D7381F"/>
    <w:rsid w:val="00DE249F"/>
    <w:rsid w:val="00FF6682"/>
    <w:rsid w:val="011E1DE3"/>
    <w:rsid w:val="01837032"/>
    <w:rsid w:val="01CD2058"/>
    <w:rsid w:val="01F463C2"/>
    <w:rsid w:val="028B1CBA"/>
    <w:rsid w:val="02B80059"/>
    <w:rsid w:val="041A7F09"/>
    <w:rsid w:val="05866F2F"/>
    <w:rsid w:val="06F1013F"/>
    <w:rsid w:val="07424550"/>
    <w:rsid w:val="077A3CDC"/>
    <w:rsid w:val="084E5EFE"/>
    <w:rsid w:val="08525545"/>
    <w:rsid w:val="09A95D2F"/>
    <w:rsid w:val="09D037C4"/>
    <w:rsid w:val="0A145524"/>
    <w:rsid w:val="0A790338"/>
    <w:rsid w:val="0B276CE8"/>
    <w:rsid w:val="0D4B31D8"/>
    <w:rsid w:val="0D5B49D0"/>
    <w:rsid w:val="0E6D43C7"/>
    <w:rsid w:val="0FDA7709"/>
    <w:rsid w:val="102263BC"/>
    <w:rsid w:val="11BA70E5"/>
    <w:rsid w:val="146775A5"/>
    <w:rsid w:val="14FB57D9"/>
    <w:rsid w:val="158479F3"/>
    <w:rsid w:val="15E30800"/>
    <w:rsid w:val="169A3810"/>
    <w:rsid w:val="16F37459"/>
    <w:rsid w:val="17406CA5"/>
    <w:rsid w:val="17625F33"/>
    <w:rsid w:val="181D13FF"/>
    <w:rsid w:val="18B54C24"/>
    <w:rsid w:val="19E468E8"/>
    <w:rsid w:val="1AA67A28"/>
    <w:rsid w:val="1B9E490D"/>
    <w:rsid w:val="1C2D699F"/>
    <w:rsid w:val="1D0177ED"/>
    <w:rsid w:val="1E2D5711"/>
    <w:rsid w:val="1E880932"/>
    <w:rsid w:val="1E8F642B"/>
    <w:rsid w:val="1F26156B"/>
    <w:rsid w:val="1FFC0104"/>
    <w:rsid w:val="208A34F4"/>
    <w:rsid w:val="20990D0C"/>
    <w:rsid w:val="2135198A"/>
    <w:rsid w:val="21C6524C"/>
    <w:rsid w:val="229C1930"/>
    <w:rsid w:val="22F2696A"/>
    <w:rsid w:val="22F322DC"/>
    <w:rsid w:val="23A32E03"/>
    <w:rsid w:val="259025CE"/>
    <w:rsid w:val="25DD6A3A"/>
    <w:rsid w:val="265F06D3"/>
    <w:rsid w:val="280F452A"/>
    <w:rsid w:val="2833058F"/>
    <w:rsid w:val="28DC1288"/>
    <w:rsid w:val="28E51E12"/>
    <w:rsid w:val="291D26C6"/>
    <w:rsid w:val="29836D56"/>
    <w:rsid w:val="2AA97AA1"/>
    <w:rsid w:val="2ABF7A92"/>
    <w:rsid w:val="2AC85760"/>
    <w:rsid w:val="2B3C7B55"/>
    <w:rsid w:val="2B413F53"/>
    <w:rsid w:val="2BCB736F"/>
    <w:rsid w:val="2BF738BA"/>
    <w:rsid w:val="2BFD37B9"/>
    <w:rsid w:val="2C6064B0"/>
    <w:rsid w:val="2C6C74D6"/>
    <w:rsid w:val="2CB74D34"/>
    <w:rsid w:val="2F7666EC"/>
    <w:rsid w:val="2F795354"/>
    <w:rsid w:val="2FBC30B2"/>
    <w:rsid w:val="308D58B7"/>
    <w:rsid w:val="30FC7463"/>
    <w:rsid w:val="33956AED"/>
    <w:rsid w:val="33BF16BC"/>
    <w:rsid w:val="343D4004"/>
    <w:rsid w:val="367F232B"/>
    <w:rsid w:val="36E7354A"/>
    <w:rsid w:val="37310F02"/>
    <w:rsid w:val="38B01920"/>
    <w:rsid w:val="38FF5CB2"/>
    <w:rsid w:val="39CC10DE"/>
    <w:rsid w:val="3A1C2064"/>
    <w:rsid w:val="3A767F62"/>
    <w:rsid w:val="3AB1437F"/>
    <w:rsid w:val="3B430AA9"/>
    <w:rsid w:val="3C446CE9"/>
    <w:rsid w:val="3CF148C2"/>
    <w:rsid w:val="3D4A297E"/>
    <w:rsid w:val="3DFB0010"/>
    <w:rsid w:val="3E43072C"/>
    <w:rsid w:val="3EF735AC"/>
    <w:rsid w:val="3F6D6AC0"/>
    <w:rsid w:val="3FAC5FB5"/>
    <w:rsid w:val="413854EA"/>
    <w:rsid w:val="430A6B83"/>
    <w:rsid w:val="443F1B61"/>
    <w:rsid w:val="466B141A"/>
    <w:rsid w:val="47185F2D"/>
    <w:rsid w:val="47A912BD"/>
    <w:rsid w:val="47BA175A"/>
    <w:rsid w:val="4AC81764"/>
    <w:rsid w:val="4AFD202B"/>
    <w:rsid w:val="4BEE5BA5"/>
    <w:rsid w:val="4BF812BD"/>
    <w:rsid w:val="4C665597"/>
    <w:rsid w:val="4D970839"/>
    <w:rsid w:val="4E255F7C"/>
    <w:rsid w:val="4E3D6123"/>
    <w:rsid w:val="500D4BA3"/>
    <w:rsid w:val="50A43F8B"/>
    <w:rsid w:val="50AB1A88"/>
    <w:rsid w:val="50D26BDE"/>
    <w:rsid w:val="51DB61FB"/>
    <w:rsid w:val="525F1587"/>
    <w:rsid w:val="527A4A5C"/>
    <w:rsid w:val="53A31472"/>
    <w:rsid w:val="541008E5"/>
    <w:rsid w:val="55AE13B4"/>
    <w:rsid w:val="55F2507D"/>
    <w:rsid w:val="564127F9"/>
    <w:rsid w:val="56671793"/>
    <w:rsid w:val="56EE4330"/>
    <w:rsid w:val="573A7CC3"/>
    <w:rsid w:val="57521214"/>
    <w:rsid w:val="58030CCB"/>
    <w:rsid w:val="59221FC9"/>
    <w:rsid w:val="592F194E"/>
    <w:rsid w:val="598B3D4E"/>
    <w:rsid w:val="59FD7D21"/>
    <w:rsid w:val="5AC76091"/>
    <w:rsid w:val="5B6C7307"/>
    <w:rsid w:val="5BA7185E"/>
    <w:rsid w:val="5BB73E73"/>
    <w:rsid w:val="5BE6758C"/>
    <w:rsid w:val="5D9075C2"/>
    <w:rsid w:val="5DAE2795"/>
    <w:rsid w:val="5DD75CC5"/>
    <w:rsid w:val="5E94255D"/>
    <w:rsid w:val="5ECC6DDD"/>
    <w:rsid w:val="5EF4333B"/>
    <w:rsid w:val="5EF7214B"/>
    <w:rsid w:val="5F97179D"/>
    <w:rsid w:val="5FA75D00"/>
    <w:rsid w:val="5FCF16F7"/>
    <w:rsid w:val="601C11AD"/>
    <w:rsid w:val="60D822B8"/>
    <w:rsid w:val="61665918"/>
    <w:rsid w:val="6210725D"/>
    <w:rsid w:val="62303084"/>
    <w:rsid w:val="631B2E62"/>
    <w:rsid w:val="633B577E"/>
    <w:rsid w:val="64A76B00"/>
    <w:rsid w:val="655A1CC9"/>
    <w:rsid w:val="66481A25"/>
    <w:rsid w:val="668D36CE"/>
    <w:rsid w:val="66A747AE"/>
    <w:rsid w:val="66CF198A"/>
    <w:rsid w:val="672F0288"/>
    <w:rsid w:val="67D434B0"/>
    <w:rsid w:val="67E42C79"/>
    <w:rsid w:val="6A9B74EF"/>
    <w:rsid w:val="6ABE6236"/>
    <w:rsid w:val="6AF3644A"/>
    <w:rsid w:val="6D224DB1"/>
    <w:rsid w:val="6DB26E01"/>
    <w:rsid w:val="6E6B3A99"/>
    <w:rsid w:val="700F1CD4"/>
    <w:rsid w:val="709E72A0"/>
    <w:rsid w:val="70A25CA6"/>
    <w:rsid w:val="70E01C2E"/>
    <w:rsid w:val="719E62F5"/>
    <w:rsid w:val="73230DC8"/>
    <w:rsid w:val="73B80148"/>
    <w:rsid w:val="73F63B3C"/>
    <w:rsid w:val="746C2150"/>
    <w:rsid w:val="74E92D06"/>
    <w:rsid w:val="75284FE2"/>
    <w:rsid w:val="75365DFA"/>
    <w:rsid w:val="759E1268"/>
    <w:rsid w:val="75D12FE9"/>
    <w:rsid w:val="76CD3C59"/>
    <w:rsid w:val="76E40312"/>
    <w:rsid w:val="76F74202"/>
    <w:rsid w:val="77EB261D"/>
    <w:rsid w:val="78512B99"/>
    <w:rsid w:val="795002A3"/>
    <w:rsid w:val="7A5E4705"/>
    <w:rsid w:val="7A8233B8"/>
    <w:rsid w:val="7B210859"/>
    <w:rsid w:val="7BB57452"/>
    <w:rsid w:val="7BE959DE"/>
    <w:rsid w:val="7D53517A"/>
    <w:rsid w:val="7D5E3782"/>
    <w:rsid w:val="7DCD756C"/>
    <w:rsid w:val="7DD93F9E"/>
    <w:rsid w:val="7E1260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批注框文本 Char"/>
    <w:basedOn w:val="8"/>
    <w:link w:val="2"/>
    <w:qFormat/>
    <w:uiPriority w:val="0"/>
    <w:rPr>
      <w:rFonts w:ascii="Tahoma" w:hAnsi="Tahoma" w:eastAsia="微软雅黑" w:cstheme="minorBidi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1455</Words>
  <Characters>1552</Characters>
  <Lines>3</Lines>
  <Paragraphs>1</Paragraphs>
  <TotalTime>1</TotalTime>
  <ScaleCrop>false</ScaleCrop>
  <LinksUpToDate>false</LinksUpToDate>
  <CharactersWithSpaces>1604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2018-03-06T06:54:00Z</dcterms:created>
  <dc:creator>Administrator</dc:creator>
  <cp:lastModifiedBy>HR-01</cp:lastModifiedBy>
  <cp:lastPrinted>2022-07-22T09:59:00Z</cp:lastPrinted>
  <dcterms:modified xsi:type="dcterms:W3CDTF">2023-03-29T06:19:14Z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2E13EB2EBFCE48709E7EBF2CE39CCA01</vt:lpwstr>
  </property>
</Properties>
</file>